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6D0B3" w14:textId="149A30FC" w:rsidR="00045535" w:rsidRPr="001A0BF2" w:rsidRDefault="7C8CE276" w:rsidP="009B70D1">
      <w:pPr>
        <w:widowControl w:val="0"/>
        <w:autoSpaceDE w:val="0"/>
        <w:autoSpaceDN w:val="0"/>
        <w:adjustRightInd w:val="0"/>
        <w:jc w:val="center"/>
        <w:rPr>
          <w:rFonts w:cs="Times New Roman"/>
          <w:b/>
          <w:bCs/>
          <w:i/>
          <w:iCs/>
          <w:color w:val="2F5496" w:themeColor="accent5" w:themeShade="BF"/>
          <w:sz w:val="28"/>
          <w:szCs w:val="28"/>
        </w:rPr>
      </w:pPr>
      <w:bookmarkStart w:id="0" w:name="_GoBack"/>
      <w:bookmarkEnd w:id="0"/>
      <w:r w:rsidRPr="7C8CE276">
        <w:rPr>
          <w:rFonts w:cs="Times New Roman"/>
          <w:b/>
          <w:bCs/>
          <w:i/>
          <w:iCs/>
          <w:color w:val="2F5496" w:themeColor="accent5" w:themeShade="BF"/>
          <w:sz w:val="28"/>
          <w:szCs w:val="28"/>
        </w:rPr>
        <w:t xml:space="preserve">CORE COMPETENCIES   - What Medical Schools Look For </w:t>
      </w:r>
    </w:p>
    <w:p w14:paraId="5173495B" w14:textId="48715751" w:rsidR="00045535" w:rsidRPr="008610DA" w:rsidRDefault="00EC6663" w:rsidP="009B70D1">
      <w:pPr>
        <w:widowControl w:val="0"/>
        <w:autoSpaceDE w:val="0"/>
        <w:autoSpaceDN w:val="0"/>
        <w:adjustRightInd w:val="0"/>
        <w:jc w:val="center"/>
        <w:rPr>
          <w:rFonts w:cs="Times New Roman"/>
          <w:i/>
          <w:iCs/>
          <w:color w:val="FF0000"/>
          <w:sz w:val="20"/>
          <w:szCs w:val="20"/>
        </w:rPr>
      </w:pPr>
      <w:r w:rsidRPr="00322C60">
        <w:rPr>
          <w:rFonts w:cs="Times New Roman"/>
          <w:b/>
          <w:i/>
          <w:color w:val="0070C0"/>
          <w:sz w:val="28"/>
          <w:szCs w:val="28"/>
        </w:rPr>
        <w:t xml:space="preserve"> </w:t>
      </w:r>
      <w:r w:rsidR="00045535" w:rsidRPr="00045535">
        <w:rPr>
          <w:rFonts w:cs="Times New Roman"/>
          <w:i/>
          <w:iCs/>
          <w:color w:val="002060"/>
          <w:sz w:val="20"/>
          <w:szCs w:val="20"/>
        </w:rPr>
        <w:t>You can demonstrate the development of the core competencies below through your research, shadowing, volunteering, internships, activities, personal and professional interactions, academic achievement, and engagement in communities here at Duke and elsewhere.   When you apply to medical schools, you will list your experiences/achievements and reflect upon the competencies that you have learned or gained from them.</w:t>
      </w:r>
    </w:p>
    <w:p w14:paraId="6F20EDA4" w14:textId="3F2F94AB" w:rsidR="00A87398" w:rsidRDefault="00A87398" w:rsidP="009B70D1">
      <w:pPr>
        <w:widowControl w:val="0"/>
        <w:autoSpaceDE w:val="0"/>
        <w:autoSpaceDN w:val="0"/>
        <w:adjustRightInd w:val="0"/>
        <w:rPr>
          <w:rFonts w:cs="Helvetica Neue"/>
          <w:color w:val="262626"/>
          <w:sz w:val="20"/>
          <w:szCs w:val="20"/>
        </w:rPr>
      </w:pPr>
    </w:p>
    <w:p w14:paraId="772911A9" w14:textId="2F14844B" w:rsidR="7C8CE276" w:rsidRDefault="00DC724E" w:rsidP="009B70D1">
      <w:pPr>
        <w:rPr>
          <w:rFonts w:cs="Arial"/>
          <w:b/>
          <w:bCs/>
          <w:color w:val="0070C0"/>
        </w:rPr>
      </w:pPr>
      <w:r>
        <w:rPr>
          <w:rFonts w:cs="Arial"/>
          <w:b/>
          <w:bCs/>
          <w:color w:val="0070C0"/>
        </w:rPr>
        <w:t xml:space="preserve">Pre-Professional:  </w:t>
      </w:r>
      <w:r w:rsidR="7C8CE276" w:rsidRPr="7C8CE276">
        <w:rPr>
          <w:rFonts w:cs="Arial"/>
          <w:b/>
          <w:bCs/>
          <w:color w:val="0070C0"/>
        </w:rPr>
        <w:t xml:space="preserve">Interpersonal Competencies </w:t>
      </w:r>
    </w:p>
    <w:p w14:paraId="05E898F9" w14:textId="6E7F0E31"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Service Orientation</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Demonstrates a desire to help others and sensitivity to others’ needs and feelings; demonstrates a desire to alleviate others’ distress; recognizes and acts on his/her responsibilities to society; locally, nationally, and globally.</w:t>
      </w:r>
    </w:p>
    <w:p w14:paraId="0511A71A" w14:textId="789E6817"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Social Skills</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Demonstrates an awareness of others’ needs, goals, feelings, and the ways that social and behavioral cues affect peoples’ interactions and behaviors; adjusts behaviors appropriately in response to these cues; treats others with respect.</w:t>
      </w:r>
    </w:p>
    <w:p w14:paraId="4E65E0A3" w14:textId="2947C247" w:rsidR="00123D9E" w:rsidRPr="00322C60" w:rsidRDefault="7C8CE276" w:rsidP="009B70D1">
      <w:pPr>
        <w:widowControl w:val="0"/>
        <w:autoSpaceDE w:val="0"/>
        <w:autoSpaceDN w:val="0"/>
        <w:adjustRightInd w:val="0"/>
        <w:rPr>
          <w:rFonts w:cs="Helvetica Neue"/>
          <w:color w:val="262626" w:themeColor="text1" w:themeTint="D9"/>
          <w:sz w:val="20"/>
          <w:szCs w:val="20"/>
        </w:rPr>
      </w:pPr>
      <w:r w:rsidRPr="7C8CE276">
        <w:rPr>
          <w:rFonts w:cs="Helvetica Neue"/>
          <w:b/>
          <w:bCs/>
          <w:color w:val="262626" w:themeColor="text1" w:themeTint="D9"/>
          <w:sz w:val="20"/>
          <w:szCs w:val="20"/>
        </w:rPr>
        <w:t>Cultural Competence</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Demonstrates knowledge of socio-cultural factors that affect interactions and behaviors; shows an appreciation and respect for multiple dimensions of diversity; recognizes and acts on the obligation to inform one’s own judgment; engages diverse and competing perspectives as a resource for learning, citizenship, and work; recognizes and appropriately addresses bias in themselves and others; interacts effectively with people from diverse backgrounds</w:t>
      </w:r>
      <w:r w:rsidRPr="7C8CE276">
        <w:rPr>
          <w:rFonts w:cs="Helvetica Neue"/>
          <w:color w:val="262626" w:themeColor="text1" w:themeTint="D9"/>
          <w:sz w:val="20"/>
          <w:szCs w:val="20"/>
        </w:rPr>
        <w:t>.</w:t>
      </w:r>
    </w:p>
    <w:p w14:paraId="3567A7E1" w14:textId="12BC05B1" w:rsidR="00123D9E" w:rsidRPr="00322C60" w:rsidRDefault="7C8CE276" w:rsidP="009B70D1">
      <w:pPr>
        <w:widowControl w:val="0"/>
        <w:autoSpaceDE w:val="0"/>
        <w:autoSpaceDN w:val="0"/>
        <w:adjustRightInd w:val="0"/>
        <w:rPr>
          <w:rFonts w:cs="Helvetica Neue"/>
          <w:color w:val="262626" w:themeColor="text1" w:themeTint="D9"/>
          <w:sz w:val="20"/>
          <w:szCs w:val="20"/>
        </w:rPr>
      </w:pPr>
      <w:r w:rsidRPr="7C8CE276">
        <w:rPr>
          <w:rFonts w:cs="Helvetica Neue"/>
          <w:b/>
          <w:bCs/>
          <w:color w:val="262626" w:themeColor="text1" w:themeTint="D9"/>
          <w:sz w:val="20"/>
          <w:szCs w:val="20"/>
        </w:rPr>
        <w:t>Teamwork</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Works collaboratively with others to achieve shared goals; shares information and knowledge with others and provides feedback; puts team goals ahead of individual goals</w:t>
      </w:r>
      <w:r w:rsidRPr="7C8CE276">
        <w:rPr>
          <w:rFonts w:cs="Helvetica Neue"/>
          <w:color w:val="262626" w:themeColor="text1" w:themeTint="D9"/>
          <w:sz w:val="20"/>
          <w:szCs w:val="20"/>
        </w:rPr>
        <w:t>.</w:t>
      </w:r>
    </w:p>
    <w:p w14:paraId="0DE83C71" w14:textId="381A1F54" w:rsidR="7C8CE276" w:rsidRDefault="7C8CE276" w:rsidP="009B70D1">
      <w:pPr>
        <w:rPr>
          <w:rFonts w:ascii="Calibri" w:eastAsia="Calibri" w:hAnsi="Calibri" w:cs="Calibri"/>
          <w:sz w:val="20"/>
          <w:szCs w:val="20"/>
        </w:rPr>
      </w:pPr>
      <w:r w:rsidRPr="7C8CE276">
        <w:rPr>
          <w:rFonts w:cs="Helvetica Neue"/>
          <w:b/>
          <w:bCs/>
          <w:color w:val="262626" w:themeColor="text1" w:themeTint="D9"/>
          <w:sz w:val="20"/>
          <w:szCs w:val="20"/>
        </w:rPr>
        <w:t>Oral Communication</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Effectively conveys information to others using spoken words and sentences; listens effectively; recognizes potential communication barriers and adjusts approach or clarifies information as needed.</w:t>
      </w:r>
    </w:p>
    <w:p w14:paraId="5C54F826" w14:textId="77777777" w:rsidR="00DC724E" w:rsidRDefault="00DC724E" w:rsidP="009B70D1">
      <w:pPr>
        <w:rPr>
          <w:rFonts w:ascii="Calibri" w:eastAsia="Calibri" w:hAnsi="Calibri" w:cs="Calibri"/>
          <w:sz w:val="20"/>
          <w:szCs w:val="20"/>
        </w:rPr>
      </w:pPr>
    </w:p>
    <w:p w14:paraId="5C75AA66" w14:textId="1F821464" w:rsidR="009B70D1" w:rsidRDefault="00DC724E" w:rsidP="009B70D1">
      <w:pPr>
        <w:rPr>
          <w:rFonts w:cs="Helvetica Neue"/>
          <w:color w:val="262626" w:themeColor="text1" w:themeTint="D9"/>
          <w:sz w:val="20"/>
          <w:szCs w:val="20"/>
        </w:rPr>
      </w:pPr>
      <w:r>
        <w:rPr>
          <w:rFonts w:cs="Arial"/>
          <w:b/>
          <w:bCs/>
          <w:color w:val="0070C0"/>
        </w:rPr>
        <w:t xml:space="preserve">Pre-Professional:  </w:t>
      </w:r>
      <w:r w:rsidR="009B70D1" w:rsidRPr="7C8CE276">
        <w:rPr>
          <w:rFonts w:cs="Arial"/>
          <w:b/>
          <w:bCs/>
          <w:color w:val="0070C0"/>
        </w:rPr>
        <w:t>Intrapersonal Competencies</w:t>
      </w:r>
    </w:p>
    <w:p w14:paraId="23D0DFAD" w14:textId="1DA509A3"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Ethical Responsibility to Self and Others</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Behaves in an honest and ethical manner; cultivates personal and academic integrity; adheres to ethical principles and follows rules and procedures; resists peer pressure to engage in unethical behavior and encourages others to behave in honest and ethical ways; develops and demonstrates ethical and moral reasoning.</w:t>
      </w:r>
    </w:p>
    <w:p w14:paraId="1602A1B6" w14:textId="6AA09982"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Reliability and Dependability</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Consistently fulfills obligations in a timely and satisfactory manner; takes responsibility for personal actions and performance.</w:t>
      </w:r>
    </w:p>
    <w:p w14:paraId="13671B5F" w14:textId="727F77C3"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Resilience and Adaptability</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Demonstrates tolerance of stressful or changing environments or situations and adapts effectively to them; is persistent, even under difficult situations; recovers from setbacks.</w:t>
      </w:r>
    </w:p>
    <w:p w14:paraId="2A6E4779" w14:textId="0F18D569"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Capacity for Improvement</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Sets goals for continuous improvement and for learning new concepts and skills; engages in reflective practice for improvement; solicits and responds appropriately to feedback.</w:t>
      </w:r>
    </w:p>
    <w:p w14:paraId="2E382F28" w14:textId="77777777" w:rsidR="00123D9E" w:rsidRPr="00322C60" w:rsidRDefault="00123D9E" w:rsidP="009B70D1">
      <w:pPr>
        <w:widowControl w:val="0"/>
        <w:autoSpaceDE w:val="0"/>
        <w:autoSpaceDN w:val="0"/>
        <w:adjustRightInd w:val="0"/>
        <w:rPr>
          <w:rFonts w:cs="Helvetica Neue"/>
          <w:color w:val="262626"/>
          <w:sz w:val="20"/>
          <w:szCs w:val="20"/>
        </w:rPr>
      </w:pPr>
    </w:p>
    <w:p w14:paraId="3C75E30E" w14:textId="77777777" w:rsidR="00123D9E" w:rsidRPr="00322C60" w:rsidRDefault="00123D9E" w:rsidP="009B70D1">
      <w:pPr>
        <w:widowControl w:val="0"/>
        <w:autoSpaceDE w:val="0"/>
        <w:autoSpaceDN w:val="0"/>
        <w:adjustRightInd w:val="0"/>
        <w:rPr>
          <w:rFonts w:cs="Arial"/>
          <w:b/>
          <w:color w:val="0070C0"/>
        </w:rPr>
      </w:pPr>
      <w:r w:rsidRPr="00322C60">
        <w:rPr>
          <w:rFonts w:cs="Arial"/>
          <w:b/>
          <w:color w:val="0070C0"/>
        </w:rPr>
        <w:t>Thinking and Reasoning Competencies</w:t>
      </w:r>
    </w:p>
    <w:p w14:paraId="3C05F7E3" w14:textId="3034CEC2"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Critical Thinking</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Uses logic and reasoning to identify the strengths and weaknesses of alternative solutions, conclusions, or approaches to problems.</w:t>
      </w:r>
    </w:p>
    <w:p w14:paraId="763E2CBC" w14:textId="313BFED9"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Quantitative Reasoning</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Applies quantitative reasoning and appropriate mathematics to describe or explain phenomena in the natural world.</w:t>
      </w:r>
    </w:p>
    <w:p w14:paraId="28D290CE" w14:textId="69EF93B5"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Scientific Inquiry</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Applies knowledge of the scientific process to integrate and synthesize information, solve problems and formulate research questions and hypotheses; is facile in the language of the sciences and uses it to participate in the discourse of science and explain how scientific knowledge is discovered and validated.</w:t>
      </w:r>
    </w:p>
    <w:p w14:paraId="387DDD52" w14:textId="1EF73F15"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Written Communication</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Effectively conveys information to others using written words and sentences.</w:t>
      </w:r>
    </w:p>
    <w:p w14:paraId="249B9D57" w14:textId="77777777" w:rsidR="00123D9E" w:rsidRPr="00322C60" w:rsidRDefault="00123D9E" w:rsidP="009B70D1">
      <w:pPr>
        <w:widowControl w:val="0"/>
        <w:autoSpaceDE w:val="0"/>
        <w:autoSpaceDN w:val="0"/>
        <w:adjustRightInd w:val="0"/>
        <w:rPr>
          <w:rFonts w:cs="Helvetica Neue"/>
          <w:color w:val="262626"/>
          <w:sz w:val="20"/>
          <w:szCs w:val="20"/>
        </w:rPr>
      </w:pPr>
    </w:p>
    <w:p w14:paraId="00EFE362" w14:textId="77777777" w:rsidR="00123D9E" w:rsidRPr="001A0BF2" w:rsidRDefault="00123D9E" w:rsidP="009B70D1">
      <w:pPr>
        <w:widowControl w:val="0"/>
        <w:autoSpaceDE w:val="0"/>
        <w:autoSpaceDN w:val="0"/>
        <w:adjustRightInd w:val="0"/>
        <w:rPr>
          <w:rFonts w:cs="Arial"/>
          <w:b/>
          <w:color w:val="0070C0"/>
        </w:rPr>
      </w:pPr>
      <w:r w:rsidRPr="001A0BF2">
        <w:rPr>
          <w:rFonts w:cs="Arial"/>
          <w:b/>
          <w:color w:val="0070C0"/>
        </w:rPr>
        <w:t>Science Competencies</w:t>
      </w:r>
    </w:p>
    <w:p w14:paraId="704E2858" w14:textId="462F6370"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Living Systems</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Applies knowledge and skill in the natural sciences to solve problems related to molecular and macro systems including biomolecules, molecules, cells, and organs.</w:t>
      </w:r>
    </w:p>
    <w:p w14:paraId="7744F847" w14:textId="4E064623" w:rsidR="7C8CE276" w:rsidRDefault="7C8CE276" w:rsidP="009B70D1">
      <w:pPr>
        <w:rPr>
          <w:rFonts w:cs="Helvetica Neue"/>
          <w:color w:val="262626" w:themeColor="text1" w:themeTint="D9"/>
          <w:sz w:val="20"/>
          <w:szCs w:val="20"/>
        </w:rPr>
      </w:pPr>
      <w:r w:rsidRPr="7C8CE276">
        <w:rPr>
          <w:rFonts w:cs="Helvetica Neue"/>
          <w:b/>
          <w:bCs/>
          <w:color w:val="262626" w:themeColor="text1" w:themeTint="D9"/>
          <w:sz w:val="20"/>
          <w:szCs w:val="20"/>
        </w:rPr>
        <w:t>Human Behavior</w:t>
      </w:r>
      <w:r w:rsidRPr="7C8CE276">
        <w:rPr>
          <w:rFonts w:cs="Helvetica Neue"/>
          <w:color w:val="262626" w:themeColor="text1" w:themeTint="D9"/>
          <w:sz w:val="20"/>
          <w:szCs w:val="20"/>
        </w:rPr>
        <w:t xml:space="preserve">: </w:t>
      </w:r>
      <w:r w:rsidRPr="7C8CE276">
        <w:rPr>
          <w:rFonts w:ascii="Calibri" w:eastAsia="Calibri" w:hAnsi="Calibri" w:cs="Calibri"/>
          <w:sz w:val="20"/>
          <w:szCs w:val="20"/>
        </w:rPr>
        <w:t>Applies knowledge of the self, others, and social systems to solve problems related to the psychological, socio-cultural, and biological factors that influence health and well-being.</w:t>
      </w:r>
    </w:p>
    <w:p w14:paraId="767A0CCA" w14:textId="77777777" w:rsidR="00123D9E" w:rsidRPr="00322C60" w:rsidRDefault="00123D9E" w:rsidP="009B70D1">
      <w:pPr>
        <w:rPr>
          <w:rFonts w:cs="Helvetica Neue"/>
          <w:color w:val="262626"/>
          <w:sz w:val="20"/>
          <w:szCs w:val="20"/>
        </w:rPr>
      </w:pPr>
    </w:p>
    <w:p w14:paraId="4C1D1E68" w14:textId="26362EA4" w:rsidR="7C8CE276" w:rsidRDefault="7C8CE276" w:rsidP="009B70D1">
      <w:pPr>
        <w:rPr>
          <w:rFonts w:cs="Arial"/>
          <w:color w:val="0B585E"/>
          <w:sz w:val="20"/>
          <w:szCs w:val="20"/>
        </w:rPr>
      </w:pPr>
      <w:r w:rsidRPr="7C8CE276">
        <w:rPr>
          <w:rFonts w:cs="Helvetica Neue"/>
          <w:color w:val="262626" w:themeColor="text1" w:themeTint="D9"/>
          <w:sz w:val="20"/>
          <w:szCs w:val="20"/>
        </w:rPr>
        <w:t xml:space="preserve">This is taken directly from:  </w:t>
      </w:r>
      <w:r w:rsidRPr="7C8CE276">
        <w:rPr>
          <w:rFonts w:ascii="Calibri" w:eastAsia="Calibri" w:hAnsi="Calibri" w:cs="Calibri"/>
          <w:sz w:val="20"/>
          <w:szCs w:val="20"/>
        </w:rPr>
        <w:t>https://students-residents.aamc.org/applying-medical-school/article/core-competencies/</w:t>
      </w:r>
    </w:p>
    <w:sectPr w:rsidR="7C8CE276" w:rsidSect="00322C60">
      <w:headerReference w:type="default" r:id="rId7"/>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277E5" w14:textId="77777777" w:rsidR="00F81ACC" w:rsidRDefault="00F81ACC" w:rsidP="00045535">
      <w:r>
        <w:separator/>
      </w:r>
    </w:p>
  </w:endnote>
  <w:endnote w:type="continuationSeparator" w:id="0">
    <w:p w14:paraId="022F2975" w14:textId="77777777" w:rsidR="00F81ACC" w:rsidRDefault="00F81ACC" w:rsidP="0004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376D6" w14:textId="77777777" w:rsidR="00F81ACC" w:rsidRDefault="00F81ACC" w:rsidP="00045535">
      <w:r>
        <w:separator/>
      </w:r>
    </w:p>
  </w:footnote>
  <w:footnote w:type="continuationSeparator" w:id="0">
    <w:p w14:paraId="680F10D2" w14:textId="77777777" w:rsidR="00F81ACC" w:rsidRDefault="00F81ACC" w:rsidP="0004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525D" w14:textId="77777777" w:rsidR="0049145C" w:rsidRPr="00565D8D" w:rsidRDefault="0049145C" w:rsidP="0049145C">
    <w:pPr>
      <w:pStyle w:val="Header"/>
      <w:tabs>
        <w:tab w:val="left" w:pos="720"/>
      </w:tabs>
      <w:rPr>
        <w:rFonts w:ascii="Garamond" w:hAnsi="Garamond"/>
        <w:i/>
        <w:sz w:val="20"/>
        <w:szCs w:val="20"/>
      </w:rPr>
    </w:pPr>
    <w:r w:rsidRPr="00565D8D">
      <w:rPr>
        <w:rFonts w:ascii="Garamond" w:hAnsi="Garamond"/>
        <w:i/>
        <w:sz w:val="20"/>
        <w:szCs w:val="20"/>
      </w:rPr>
      <w:t>Office of Health Professions Advising</w:t>
    </w:r>
    <w:r w:rsidRPr="00565D8D">
      <w:rPr>
        <w:rFonts w:ascii="Garamond" w:hAnsi="Garamond"/>
        <w:i/>
        <w:sz w:val="20"/>
        <w:szCs w:val="20"/>
      </w:rPr>
      <w:tab/>
    </w:r>
    <w:r w:rsidRPr="00565D8D">
      <w:rPr>
        <w:rFonts w:ascii="Garamond" w:hAnsi="Garamond"/>
        <w:i/>
        <w:sz w:val="20"/>
        <w:szCs w:val="20"/>
      </w:rPr>
      <w:tab/>
    </w:r>
  </w:p>
  <w:p w14:paraId="7A5F6F0E" w14:textId="23F52836" w:rsidR="0049145C" w:rsidRPr="00565D8D" w:rsidRDefault="009A64FA" w:rsidP="0049145C">
    <w:pPr>
      <w:pStyle w:val="Header"/>
      <w:rPr>
        <w:rFonts w:ascii="Garamond" w:hAnsi="Garamond"/>
        <w:sz w:val="20"/>
        <w:szCs w:val="20"/>
      </w:rPr>
    </w:pPr>
    <w:r>
      <w:rPr>
        <w:rFonts w:ascii="Garamond" w:hAnsi="Garamond"/>
        <w:sz w:val="20"/>
        <w:szCs w:val="20"/>
      </w:rPr>
      <w:t>prehealth.duke.edu</w:t>
    </w:r>
  </w:p>
  <w:p w14:paraId="0556E0C0" w14:textId="52AA3631" w:rsidR="00045535" w:rsidRPr="0049145C" w:rsidRDefault="0049145C" w:rsidP="00045535">
    <w:pPr>
      <w:pStyle w:val="Header"/>
      <w:rPr>
        <w:rFonts w:ascii="Garamond" w:hAnsi="Garamond"/>
      </w:rPr>
    </w:pPr>
    <w:r w:rsidRPr="00565D8D">
      <w:rPr>
        <w:rFonts w:ascii="Garamond" w:hAnsi="Garamond"/>
        <w:sz w:val="20"/>
        <w:szCs w:val="20"/>
      </w:rPr>
      <w:t>prehealth@duke.edu</w:t>
    </w:r>
    <w:r>
      <w:rPr>
        <w:rFonts w:ascii="Garamond" w:hAnsi="Garamon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E"/>
    <w:rsid w:val="00045535"/>
    <w:rsid w:val="00123D9E"/>
    <w:rsid w:val="001945D8"/>
    <w:rsid w:val="001A0BF2"/>
    <w:rsid w:val="00245B82"/>
    <w:rsid w:val="00322C60"/>
    <w:rsid w:val="003A556A"/>
    <w:rsid w:val="003E20C0"/>
    <w:rsid w:val="0041477C"/>
    <w:rsid w:val="00446EF6"/>
    <w:rsid w:val="0049145C"/>
    <w:rsid w:val="00565D8D"/>
    <w:rsid w:val="005811AA"/>
    <w:rsid w:val="00627F88"/>
    <w:rsid w:val="006D2ADD"/>
    <w:rsid w:val="007B55CE"/>
    <w:rsid w:val="00851E4C"/>
    <w:rsid w:val="008610DA"/>
    <w:rsid w:val="00992B43"/>
    <w:rsid w:val="009A646C"/>
    <w:rsid w:val="009A64FA"/>
    <w:rsid w:val="009B70D1"/>
    <w:rsid w:val="00A525A0"/>
    <w:rsid w:val="00A634C1"/>
    <w:rsid w:val="00A87398"/>
    <w:rsid w:val="00AA0973"/>
    <w:rsid w:val="00B40FC6"/>
    <w:rsid w:val="00B57639"/>
    <w:rsid w:val="00B81A5D"/>
    <w:rsid w:val="00BB6626"/>
    <w:rsid w:val="00C4662B"/>
    <w:rsid w:val="00CD3EE4"/>
    <w:rsid w:val="00CF749F"/>
    <w:rsid w:val="00D055AA"/>
    <w:rsid w:val="00D3040A"/>
    <w:rsid w:val="00D31C6E"/>
    <w:rsid w:val="00D91778"/>
    <w:rsid w:val="00DB2EE6"/>
    <w:rsid w:val="00DC724E"/>
    <w:rsid w:val="00E2564D"/>
    <w:rsid w:val="00E42B01"/>
    <w:rsid w:val="00E86C78"/>
    <w:rsid w:val="00EC6663"/>
    <w:rsid w:val="00F81ACC"/>
    <w:rsid w:val="00FE3D84"/>
    <w:rsid w:val="7C8CE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4CEB9"/>
  <w14:defaultImageDpi w14:val="32767"/>
  <w15:chartTrackingRefBased/>
  <w15:docId w15:val="{B67C6431-0FA8-4A98-BBEE-7DCF7C6A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535"/>
    <w:pPr>
      <w:tabs>
        <w:tab w:val="center" w:pos="4680"/>
        <w:tab w:val="right" w:pos="9360"/>
      </w:tabs>
    </w:pPr>
  </w:style>
  <w:style w:type="character" w:customStyle="1" w:styleId="HeaderChar">
    <w:name w:val="Header Char"/>
    <w:basedOn w:val="DefaultParagraphFont"/>
    <w:link w:val="Header"/>
    <w:uiPriority w:val="99"/>
    <w:rsid w:val="00045535"/>
  </w:style>
  <w:style w:type="paragraph" w:styleId="Footer">
    <w:name w:val="footer"/>
    <w:basedOn w:val="Normal"/>
    <w:link w:val="FooterChar"/>
    <w:uiPriority w:val="99"/>
    <w:unhideWhenUsed/>
    <w:rsid w:val="00045535"/>
    <w:pPr>
      <w:tabs>
        <w:tab w:val="center" w:pos="4680"/>
        <w:tab w:val="right" w:pos="9360"/>
      </w:tabs>
    </w:pPr>
  </w:style>
  <w:style w:type="character" w:customStyle="1" w:styleId="FooterChar">
    <w:name w:val="Footer Char"/>
    <w:basedOn w:val="DefaultParagraphFont"/>
    <w:link w:val="Footer"/>
    <w:uiPriority w:val="99"/>
    <w:rsid w:val="00045535"/>
  </w:style>
  <w:style w:type="character" w:styleId="Hyperlink">
    <w:name w:val="Hyperlink"/>
    <w:basedOn w:val="DefaultParagraphFont"/>
    <w:uiPriority w:val="99"/>
    <w:unhideWhenUsed/>
    <w:rsid w:val="00045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7953">
      <w:bodyDiv w:val="1"/>
      <w:marLeft w:val="0"/>
      <w:marRight w:val="0"/>
      <w:marTop w:val="0"/>
      <w:marBottom w:val="0"/>
      <w:divBdr>
        <w:top w:val="none" w:sz="0" w:space="0" w:color="auto"/>
        <w:left w:val="none" w:sz="0" w:space="0" w:color="auto"/>
        <w:bottom w:val="none" w:sz="0" w:space="0" w:color="auto"/>
        <w:right w:val="none" w:sz="0" w:space="0" w:color="auto"/>
      </w:divBdr>
    </w:div>
    <w:div w:id="402603926">
      <w:bodyDiv w:val="1"/>
      <w:marLeft w:val="0"/>
      <w:marRight w:val="0"/>
      <w:marTop w:val="0"/>
      <w:marBottom w:val="0"/>
      <w:divBdr>
        <w:top w:val="none" w:sz="0" w:space="0" w:color="auto"/>
        <w:left w:val="none" w:sz="0" w:space="0" w:color="auto"/>
        <w:bottom w:val="none" w:sz="0" w:space="0" w:color="auto"/>
        <w:right w:val="none" w:sz="0" w:space="0" w:color="auto"/>
      </w:divBdr>
    </w:div>
    <w:div w:id="542132350">
      <w:bodyDiv w:val="1"/>
      <w:marLeft w:val="0"/>
      <w:marRight w:val="0"/>
      <w:marTop w:val="0"/>
      <w:marBottom w:val="0"/>
      <w:divBdr>
        <w:top w:val="none" w:sz="0" w:space="0" w:color="auto"/>
        <w:left w:val="none" w:sz="0" w:space="0" w:color="auto"/>
        <w:bottom w:val="none" w:sz="0" w:space="0" w:color="auto"/>
        <w:right w:val="none" w:sz="0" w:space="0" w:color="auto"/>
      </w:divBdr>
    </w:div>
    <w:div w:id="1635481731">
      <w:bodyDiv w:val="1"/>
      <w:marLeft w:val="0"/>
      <w:marRight w:val="0"/>
      <w:marTop w:val="0"/>
      <w:marBottom w:val="0"/>
      <w:divBdr>
        <w:top w:val="none" w:sz="0" w:space="0" w:color="auto"/>
        <w:left w:val="none" w:sz="0" w:space="0" w:color="auto"/>
        <w:bottom w:val="none" w:sz="0" w:space="0" w:color="auto"/>
        <w:right w:val="none" w:sz="0" w:space="0" w:color="auto"/>
      </w:divBdr>
    </w:div>
    <w:div w:id="1657294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4BCC-39EC-4598-A9C2-61688B45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Morhac</cp:lastModifiedBy>
  <cp:revision>2</cp:revision>
  <cp:lastPrinted>2017-10-03T19:34:00Z</cp:lastPrinted>
  <dcterms:created xsi:type="dcterms:W3CDTF">2019-02-12T15:25:00Z</dcterms:created>
  <dcterms:modified xsi:type="dcterms:W3CDTF">2019-02-12T15:25:00Z</dcterms:modified>
</cp:coreProperties>
</file>